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4BD2">
      <w:pPr>
        <w:pStyle w:val="Tytu"/>
        <w:jc w:val="left"/>
      </w:pPr>
      <w:r>
        <w:t>Adam Olszewski</w:t>
      </w:r>
    </w:p>
    <w:p w:rsidR="00000000" w:rsidRDefault="00804BD2">
      <w:pPr>
        <w:pStyle w:val="Tytu"/>
        <w:jc w:val="left"/>
      </w:pPr>
      <w:r>
        <w:t>WF, PAT w Krakowie</w:t>
      </w:r>
    </w:p>
    <w:p w:rsidR="00000000" w:rsidRDefault="00804BD2">
      <w:pPr>
        <w:pStyle w:val="Tytu"/>
        <w:jc w:val="left"/>
      </w:pPr>
    </w:p>
    <w:p w:rsidR="00000000" w:rsidRDefault="00804BD2">
      <w:pPr>
        <w:pStyle w:val="Tytu"/>
        <w:jc w:val="left"/>
      </w:pPr>
      <w:r>
        <w:t xml:space="preserve">TEZA CHURCHA A GENEZA POJĘĆ OBLICZALNOŚCI. </w:t>
      </w:r>
      <w:r>
        <w:rPr>
          <w:highlight w:val="yellow"/>
        </w:rPr>
        <w:t>ZARYS PROBLEMU</w:t>
      </w:r>
    </w:p>
    <w:p w:rsidR="00000000" w:rsidRDefault="00804BD2">
      <w:pPr>
        <w:jc w:val="center"/>
        <w:rPr>
          <w:b/>
          <w:bCs/>
          <w:sz w:val="32"/>
        </w:rPr>
      </w:pPr>
    </w:p>
    <w:p w:rsidR="00000000" w:rsidRDefault="00804BD2">
      <w:pPr>
        <w:jc w:val="center"/>
        <w:rPr>
          <w:b/>
          <w:bCs/>
          <w:sz w:val="32"/>
        </w:rPr>
      </w:pPr>
    </w:p>
    <w:p w:rsidR="00000000" w:rsidRDefault="00804BD2"/>
    <w:p w:rsidR="00000000" w:rsidRDefault="00804BD2">
      <w:pPr>
        <w:pStyle w:val="Tekstpodstawowy2"/>
      </w:pPr>
      <w:r>
        <w:t>Przedmiotem niniejszej pracy jest pewien problem związany z tezą Churcha (CT) . Przez CT będę rozumiał sformułowanie, które odbiega wprawdzie od tradycyjnego, j</w:t>
      </w:r>
      <w:r>
        <w:t>ednak nawiązuje ściśle do tego, co miał na myśli autor tezy swego imienia – Alonzo Church:</w:t>
      </w:r>
    </w:p>
    <w:p w:rsidR="00000000" w:rsidRDefault="00804BD2">
      <w:pPr>
        <w:pStyle w:val="Tekstpodstawowy2"/>
        <w:jc w:val="center"/>
      </w:pPr>
    </w:p>
    <w:p w:rsidR="00000000" w:rsidRDefault="00804BD2">
      <w:pPr>
        <w:pStyle w:val="Tekstpodstawowy"/>
      </w:pPr>
      <w:r>
        <w:t>(CT)</w:t>
      </w:r>
      <w:r>
        <w:tab/>
        <w:t>Pojęcie funkcji efektywnie obliczalnej (określonej w liczbach naturalnych) jest identyczne z pojęciem funkcji rekurencyjnej.</w:t>
      </w:r>
    </w:p>
    <w:p w:rsidR="00000000" w:rsidRDefault="00804BD2">
      <w:pPr>
        <w:pStyle w:val="Tekstpodstawowy"/>
      </w:pPr>
    </w:p>
    <w:p w:rsidR="00000000" w:rsidRDefault="00804BD2">
      <w:pPr>
        <w:pStyle w:val="Tekstpodstawowy"/>
        <w:jc w:val="both"/>
      </w:pPr>
      <w:r>
        <w:t>Mamy tutaj jak gdyby do czynienia</w:t>
      </w:r>
      <w:r>
        <w:t xml:space="preserve"> z dwoma pojęciami, o których CT stanowi, że są w istocie jednym pojęciem. Zagadnienie, którym chcę się zająć to próba odpowiedzi na pytanie, jaka jest geneza tych dwóch pozornie różnych pojęć? Nawracam tutaj do problemu postawionego przez Fregego: gdyby C</w:t>
      </w:r>
      <w:r>
        <w:t>T, jako identyczność, stanowiła, iż A = A, to byłaby całkowicie trywialna. Musi być tak, że CT stanowi A = B i wtedy przestaje być trywialna. Pytaniem zasadniczym jest: czym się różnią pojęcia A i B, że stwierdzenie ich identyczności jest ciekawe? Argument</w:t>
      </w:r>
      <w:r>
        <w:t>uję w tej pracy, że oba pojęcia wchodzące do sformułowania CT różnią się genezą, czy też sposobem, w jaki do nich dochodzimy.</w:t>
      </w:r>
    </w:p>
    <w:p w:rsidR="00000000" w:rsidRDefault="00804BD2">
      <w:pPr>
        <w:pStyle w:val="Tekstpodstawowy"/>
      </w:pPr>
    </w:p>
    <w:p w:rsidR="00000000" w:rsidRDefault="00804BD2">
      <w:pPr>
        <w:pStyle w:val="Lista2"/>
        <w:ind w:left="283" w:firstLine="0"/>
      </w:pPr>
    </w:p>
    <w:p w:rsidR="00000000" w:rsidRDefault="00804BD2">
      <w:pPr>
        <w:pStyle w:val="Lista2"/>
        <w:ind w:left="0" w:firstLine="0"/>
        <w:jc w:val="both"/>
      </w:pPr>
      <w:r>
        <w:t>1.</w:t>
      </w:r>
      <w:r>
        <w:tab/>
        <w:t xml:space="preserve"> Po pierwsze należy zwrócić uwagę na to, że CT w powyższej postaci posiada presupozycję, której prawdziwość czyni CT w ogóle </w:t>
      </w:r>
      <w:r>
        <w:t>sensownym zdaniem. Ową presupozycję można sformułować następująco:</w:t>
      </w:r>
    </w:p>
    <w:p w:rsidR="00000000" w:rsidRDefault="00804BD2">
      <w:pPr>
        <w:jc w:val="both"/>
      </w:pPr>
    </w:p>
    <w:p w:rsidR="00000000" w:rsidRDefault="00804BD2">
      <w:pPr>
        <w:jc w:val="center"/>
      </w:pPr>
      <w:r>
        <w:t>(PCT)</w:t>
      </w:r>
      <w:r>
        <w:tab/>
        <w:t>Istnieją pojęcia i można je badać.</w:t>
      </w:r>
    </w:p>
    <w:p w:rsidR="00000000" w:rsidRDefault="00804BD2">
      <w:pPr>
        <w:jc w:val="both"/>
      </w:pPr>
    </w:p>
    <w:p w:rsidR="00000000" w:rsidRDefault="00804BD2">
      <w:pPr>
        <w:jc w:val="both"/>
      </w:pPr>
      <w:r>
        <w:t>Testem pozwalającym odróżnić presupozycję</w:t>
      </w:r>
      <w:r>
        <w:rPr>
          <w:rStyle w:val="Odwoanieprzypisudolnego"/>
        </w:rPr>
        <w:footnoteReference w:id="1"/>
      </w:r>
      <w:r>
        <w:t xml:space="preserve"> A jakiegoś zdania B (symbolicznie: B►A, czytamy: A jest presuponowane przez B, lub B presuponuje A) od </w:t>
      </w:r>
      <w:r>
        <w:t>wynikania logicznego A z B (symbolicznie: B╞ A) jest to, iż żadne zdanie nie wynika logicznie z innego zdania i równocześnie negacji tego zdania, o ile samo nie jest tautologią logiki.</w:t>
      </w:r>
      <w:r>
        <w:rPr>
          <w:rStyle w:val="Odwoanieprzypisudolnego"/>
        </w:rPr>
        <w:footnoteReference w:id="2"/>
      </w:r>
      <w:r>
        <w:t xml:space="preserve"> W naszym przypadku zachodzi:   CT ► PCT  oraz  </w:t>
      </w:r>
      <w:r>
        <w:sym w:font="Symbol" w:char="F0D8"/>
      </w:r>
      <w:r>
        <w:t xml:space="preserve">CT ► PCT. Natomiast o </w:t>
      </w:r>
      <w:r>
        <w:t xml:space="preserve">ile możemy uznać:  CT ╞  PCT, to już  </w:t>
      </w:r>
      <w:r>
        <w:sym w:font="Symbol" w:char="F0D8"/>
      </w:r>
      <w:r>
        <w:t xml:space="preserve">CT ╞ PCT nie musi zachodzić, gdyż pojęcia mogą nie istnieć lub, być może, nie można ich badać w żadnym intersubiektywnym sensie, a mimo tego te dwa pojęcia mogą być różne. </w:t>
      </w:r>
    </w:p>
    <w:p w:rsidR="00000000" w:rsidRDefault="00804BD2">
      <w:pPr>
        <w:jc w:val="both"/>
      </w:pPr>
    </w:p>
    <w:p w:rsidR="00000000" w:rsidRDefault="00804BD2">
      <w:pPr>
        <w:jc w:val="both"/>
      </w:pPr>
      <w:r>
        <w:t>2.</w:t>
      </w:r>
      <w:r>
        <w:tab/>
        <w:t>Jednym z ważnych problemów filozoficznyc</w:t>
      </w:r>
      <w:r>
        <w:t xml:space="preserve">h arytmetyki liczb naturalnych jest zagadnienie genezy (pochodzenia) liczb naturalnych. Chodzi tutaj o pochodzenie pojęcia liczby naturalnej, jakie posiadamy w umyśle. Spośród różnych stanowisk w tej kwestii rozważmy dwa. </w:t>
      </w:r>
    </w:p>
    <w:p w:rsidR="00000000" w:rsidRDefault="00804BD2">
      <w:pPr>
        <w:ind w:firstLine="708"/>
        <w:jc w:val="both"/>
      </w:pPr>
      <w:r>
        <w:lastRenderedPageBreak/>
        <w:t>Jedno rozwiązanie, którego zwolen</w:t>
      </w:r>
      <w:r>
        <w:t>nikiem był John Mill, jest takie, iż liczby naturalne pochodzą z doświadczenia empirycznego, będąc jego uogólnieniem.</w:t>
      </w:r>
      <w:r>
        <w:rPr>
          <w:rStyle w:val="Odwoanieprzypisudolnego"/>
        </w:rPr>
        <w:footnoteReference w:id="3"/>
      </w:r>
      <w:r>
        <w:t xml:space="preserve"> I tak, według Milla, tworzymy na przykład pojęcie liczby trzy poprzez empiryczny kontakt z trzema kamieniami, jabłkami itp. Również niekt</w:t>
      </w:r>
      <w:r>
        <w:t>óre funkcje częściowe pochodzą z doświadczenia, jak pewne przedziały funkcji dodawania, odejmowania, mnożenia czy potęgowania.</w:t>
      </w:r>
      <w:r>
        <w:rPr>
          <w:rStyle w:val="Odwoanieprzypisudolnego"/>
        </w:rPr>
        <w:footnoteReference w:id="4"/>
      </w:r>
      <w:r>
        <w:t xml:space="preserve"> Na czym polega możliwość uogólnienia? Otóż wydaje się, że na tym, iż możemy porzucić kamienie, jabłka itp. i zastąpić je znakami</w:t>
      </w:r>
      <w:r>
        <w:t xml:space="preserve"> (liczbowymi), które tworzymy w sposób wolny, ale również obszarze doświadczenia zewnętrznego. Znaki (liczbowe) postrzegamy, potrafimy je rozróżniać od siebie wzajemnie, potrafimy je powtarzać, rozpoznawać powtórnie, czy wreszcie odróżniać od innych obiekt</w:t>
      </w:r>
      <w:r>
        <w:t>ów doświadczenia zmysłowego. Znaki mogą oznaczać zarówno dowolne przedmioty, jak i dowolne liczby przedmiotów. Dzięki znakom możemy zapisywać bardzo duże liczby, a nawet wykonywać na nich operacje. Znaki mają charakter analogiczny do przedmiotów; tym się o</w:t>
      </w:r>
      <w:r>
        <w:t>d nich różnią, że zostały skonstruowane przeze mnie i są łatwe w operowaniu. Dzieje notacji arytmetycznej, w szczególności pojawienie się cyfr arabskich i liczenie o podstawie dziesięć znacznie ułatwiło procedury operowania znakami liczbowymi. Operowanie z</w:t>
      </w:r>
      <w:r>
        <w:t>nakami (czy też na znakach), uczynionymi przeze mnie, ma charakter prostych manipulacji mechanicznych. Rozważana sprawa dotyczy znaków oznaczających przedmioty i ich zbiorowości. Inaczej może mieć się sprawa ze znakami, dzięki którym potrafimy budować zdan</w:t>
      </w:r>
      <w:r>
        <w:t>ia wyrażające jakieś myśli. Również nie wszystkie operacje wykonywane na przedmiotach doświadczenia zewnętrznego mają charakter mechaniczny. Na przykład, kiedy rzucamy monetą, to wynik w postaci orła lub reszki jest dla nas nie do przewidzenia. Dołączył si</w:t>
      </w:r>
      <w:r>
        <w:t xml:space="preserve">ę bowiem czynnik, który jest od nas niezależny i powoduje nieprzewidywalność. Zdajemy sobie sprawę, że istnieje ograniczenie na przewidywalność wyniku naszych działań w sferze zewnętrznej. Jednak w przypadku znaków sprawa wydaje się być przesądzona, o ile </w:t>
      </w:r>
      <w:r>
        <w:t>nie będziemy brali pod uwagę znaczeń kodowanych przez znaki. Zgodnie z koncepcją Milla uogólnienia w postaci pojęcia liczby, czy też funkcji arytmetycznych, dokonuje się za pomocą tzw. indukcji niezupełnej. Warto się zatrzymać nad tym zagadnieniem, gdyż wi</w:t>
      </w:r>
      <w:r>
        <w:t>ąże się ono z matematycznością przyrody.</w:t>
      </w:r>
      <w:r>
        <w:rPr>
          <w:rStyle w:val="Odwoanieprzypisudolnego"/>
        </w:rPr>
        <w:footnoteReference w:id="5"/>
      </w:r>
      <w:r>
        <w:t xml:space="preserve"> Zakładając, że w bezpośrednim doświadczeniu człowiek nie ma do czynienia z procesami nieskończonymi w przyrodzie, a tylko ze skończonymi, można wnosić, że człowiek nigdy nie ma doświadczenia funkcji. Funkcja bowiem</w:t>
      </w:r>
      <w:r>
        <w:t>, jako nieskończony zbiór par uporządkowanych, jest obiektem nieskończonym.</w:t>
      </w:r>
      <w:r>
        <w:rPr>
          <w:rStyle w:val="Odwoanieprzypisudolnego"/>
        </w:rPr>
        <w:footnoteReference w:id="6"/>
      </w:r>
      <w:r>
        <w:t xml:space="preserve"> Weźmy na przykład definicję rekurencyjną dodawania:</w:t>
      </w:r>
    </w:p>
    <w:p w:rsidR="00000000" w:rsidRDefault="00804BD2">
      <w:pPr>
        <w:jc w:val="both"/>
      </w:pPr>
    </w:p>
    <w:p w:rsidR="00000000" w:rsidRDefault="00804BD2">
      <w:pPr>
        <w:jc w:val="center"/>
      </w:pPr>
      <w:r>
        <w:t>x + 0 = x</w:t>
      </w:r>
    </w:p>
    <w:p w:rsidR="00000000" w:rsidRDefault="00804BD2">
      <w:pPr>
        <w:jc w:val="center"/>
        <w:rPr>
          <w:lang w:val="en-US"/>
        </w:rPr>
      </w:pPr>
      <w:r>
        <w:rPr>
          <w:lang w:val="en-US"/>
        </w:rPr>
        <w:t>x + S(y) = S(x + y).</w:t>
      </w:r>
    </w:p>
    <w:p w:rsidR="00000000" w:rsidRDefault="00804BD2">
      <w:pPr>
        <w:jc w:val="center"/>
        <w:rPr>
          <w:lang w:val="en-US"/>
        </w:rPr>
      </w:pPr>
    </w:p>
    <w:p w:rsidR="00000000" w:rsidRDefault="00804BD2">
      <w:pPr>
        <w:jc w:val="both"/>
      </w:pPr>
      <w:r>
        <w:t>Jeśli mam do czynienia z dowolnymi, ale małymi liczbami x oraz y, to potrafię je dodać do sieb</w:t>
      </w:r>
      <w:r>
        <w:t>ie używając na przykład kamieni. Dodając, korzystam z procedury rekurencji, gdyż zliczając zbiór kamieni, po dołączeniu zbioru liczącego x kamieni do zbioru liczącego y kamieni, zliczam je dodając do znanej mi liczby x kamieni, po jednym kamieniu ze zbioru</w:t>
      </w:r>
      <w:r>
        <w:t xml:space="preserve"> liczącego y kamieni. Uogólnienie polega na tym, że mogę zrobić to samo na znakach i, abstrahując od konkretnych liczb, mogę sformułować za pomocą znaków metodę, która stosuje się do dowolnych liczb. W tym ukazuje się cała waga matematyczności przyrody. Po</w:t>
      </w:r>
      <w:r>
        <w:t xml:space="preserve">nieważ funkcja nie istnieje w przyrodzie, musi pochodzić ode mnie, dokładnie od mojego </w:t>
      </w:r>
      <w:r>
        <w:lastRenderedPageBreak/>
        <w:t>umysłu. Ale jak to się dzieje, że ze skończonej liczby przypadków mogę sformułować ogólną metodę stosującą się do nieskończonej liczby przypadków? Umysł dla pewnego skoń</w:t>
      </w:r>
      <w:r>
        <w:t>czonego zbioru przypadków dokonuje procedury (nieefektywnej) przeszukiwania swoich zasobów i „dopasowania” funkcji do kilku stwierdzonych empirycznie przypadków. Ta operacja umysłu jest poprzedzone przekonaniem, że takie działanie jest sensowne. Można to u</w:t>
      </w:r>
      <w:r>
        <w:t xml:space="preserve">jąć w ten sposób, że teza o matematyczności przyrody (TM) jest </w:t>
      </w:r>
      <w:r>
        <w:rPr>
          <w:i/>
          <w:iCs/>
        </w:rPr>
        <w:t>presupozycją</w:t>
      </w:r>
      <w:r>
        <w:t xml:space="preserve"> badań nad przyrodą; a to znaczy, że przyjęcie prawdziwości tezy o matematyczności przyrody jest gwarantem sensowności zdań opisujących przyrodę matematycznie.</w:t>
      </w:r>
      <w:r>
        <w:rPr>
          <w:rStyle w:val="Odwoanieprzypisudolnego"/>
        </w:rPr>
        <w:footnoteReference w:id="7"/>
      </w:r>
      <w:r>
        <w:t xml:space="preserve"> Sensowność zdań w ty</w:t>
      </w:r>
      <w:r>
        <w:t>m przypadku znaczy możliwość przypisania im wartości logicznej fałszu, czyli ich falsyfikowalności (TF). Mielibyśmy zatem taki związek:</w:t>
      </w:r>
    </w:p>
    <w:p w:rsidR="00000000" w:rsidRDefault="00804BD2">
      <w:pPr>
        <w:jc w:val="both"/>
        <w:rPr>
          <w:highlight w:val="yellow"/>
        </w:rPr>
      </w:pPr>
    </w:p>
    <w:p w:rsidR="00000000" w:rsidRDefault="00804BD2">
      <w:pPr>
        <w:pStyle w:val="Tekstpodstawowy"/>
        <w:rPr>
          <w:highlight w:val="yellow"/>
        </w:rPr>
      </w:pPr>
      <w:r>
        <w:rPr>
          <w:highlight w:val="yellow"/>
        </w:rPr>
        <w:t>TF ► TM.</w:t>
      </w:r>
    </w:p>
    <w:p w:rsidR="00000000" w:rsidRDefault="00804BD2">
      <w:pPr>
        <w:pStyle w:val="Tekstpodstawowy"/>
        <w:rPr>
          <w:highlight w:val="yellow"/>
        </w:rPr>
      </w:pPr>
    </w:p>
    <w:p w:rsidR="00000000" w:rsidRDefault="00804BD2">
      <w:pPr>
        <w:pStyle w:val="Tekstpodstawowy"/>
        <w:jc w:val="both"/>
      </w:pPr>
      <w:r>
        <w:rPr>
          <w:highlight w:val="yellow"/>
        </w:rPr>
        <w:t>Dla wykazania, że taki związek rzeczywiście zachodzi skorzystamy z następującego prawa dla presupozycji:   A►</w:t>
      </w:r>
      <w:r>
        <w:rPr>
          <w:highlight w:val="yellow"/>
        </w:rPr>
        <w:t xml:space="preserve">B </w:t>
      </w:r>
      <w:r>
        <w:rPr>
          <w:highlight w:val="yellow"/>
        </w:rPr>
        <w:sym w:font="Symbol" w:char="F0BA"/>
      </w:r>
      <w:r>
        <w:rPr>
          <w:highlight w:val="yellow"/>
        </w:rPr>
        <w:t xml:space="preserve"> (</w:t>
      </w:r>
      <w:r>
        <w:rPr>
          <w:highlight w:val="yellow"/>
        </w:rPr>
        <w:sym w:font="Symbol" w:char="F0D8"/>
      </w:r>
      <w:r>
        <w:rPr>
          <w:highlight w:val="yellow"/>
        </w:rPr>
        <w:t xml:space="preserve">A)►B. Gdy w tym wzorze zastąpimy znak presuponowania znakiem ╞, czyli wynikania logicznego, to jedna z następujących zależności powinna nie zachodzić. Mianowicie nie powinno zachodzić albo A╞B albo </w:t>
      </w:r>
      <w:r>
        <w:rPr>
          <w:highlight w:val="yellow"/>
        </w:rPr>
        <w:sym w:font="Symbol" w:char="F0D8"/>
      </w:r>
      <w:r>
        <w:rPr>
          <w:highlight w:val="yellow"/>
        </w:rPr>
        <w:t>A╞B, czyli w naszym przypadku któraś z formuł:  TF╞</w:t>
      </w:r>
      <w:r>
        <w:rPr>
          <w:highlight w:val="yellow"/>
        </w:rPr>
        <w:t>TM lub  (</w:t>
      </w:r>
      <w:r>
        <w:rPr>
          <w:highlight w:val="yellow"/>
        </w:rPr>
        <w:sym w:font="Symbol" w:char="F0D8"/>
      </w:r>
      <w:r>
        <w:rPr>
          <w:highlight w:val="yellow"/>
        </w:rPr>
        <w:t xml:space="preserve">TF)╞TM  powinna nie zachodzić. Pytamy zatem, czy możliwa jest taka sytuacja, żeby zachodziło TF (lub odpowiednio </w:t>
      </w:r>
      <w:r>
        <w:rPr>
          <w:highlight w:val="yellow"/>
        </w:rPr>
        <w:sym w:font="Symbol" w:char="F0D8"/>
      </w:r>
      <w:r>
        <w:rPr>
          <w:highlight w:val="yellow"/>
        </w:rPr>
        <w:t xml:space="preserve">TF) i równocześnie </w:t>
      </w:r>
      <w:r>
        <w:rPr>
          <w:highlight w:val="yellow"/>
        </w:rPr>
        <w:sym w:font="Symbol" w:char="F0D8"/>
      </w:r>
      <w:r>
        <w:rPr>
          <w:highlight w:val="yellow"/>
        </w:rPr>
        <w:t>TM? Myślę, że taka sytuacja zachodziłaby, gdyby przyroda była całkowicie chaotyczna. Uwagi te mają pokazać, że s</w:t>
      </w:r>
      <w:r>
        <w:rPr>
          <w:highlight w:val="yellow"/>
        </w:rPr>
        <w:t xml:space="preserve">koro TM jest presuponowane przez TF, to TM nie podlega zasadzie falsyfikowalności, a co za tym idzie nie ma charakteru naukowego wedle kryterium Poppera. Jeśli by tak było, to TM z natury rzeczy należy do badań filozoficznych i jest zagadnieniem brzegowym </w:t>
      </w:r>
      <w:r>
        <w:rPr>
          <w:highlight w:val="yellow"/>
        </w:rPr>
        <w:t>badań naukowych.</w:t>
      </w:r>
      <w:r>
        <w:t xml:space="preserve"> </w:t>
      </w:r>
    </w:p>
    <w:p w:rsidR="00000000" w:rsidRDefault="00804BD2">
      <w:pPr>
        <w:ind w:firstLine="708"/>
        <w:jc w:val="both"/>
      </w:pPr>
      <w:r>
        <w:t>Wracając do definicji dodawania liczb, cała ta procedura jest możliwa w związku z tym, że mogę dowolny zbiór kamieni ułożyć w ciąg skończony i „wytworzyć” sobie w umyśle ogólne pojęcie funkcji następnika. Uogólnienie polega w tym przypadk</w:t>
      </w:r>
      <w:r>
        <w:t>u na tym, że mogę sobie wyobrazić dokładanie kolejnego kamienia (lub dopisywanie kolejnej kreski w reprezentacji za pomocą znaków) i proces ten może być nieukończony, albo inaczej nie-skończony. Aktualna nieskończoność jest przy tym ujęciu znowu jedynie po</w:t>
      </w:r>
      <w:r>
        <w:t>jęciem umysłu.</w:t>
      </w:r>
      <w:r>
        <w:rPr>
          <w:rStyle w:val="Odwoanieprzypisudolnego"/>
        </w:rPr>
        <w:footnoteReference w:id="8"/>
      </w:r>
      <w:r>
        <w:t xml:space="preserve"> W określeniu klasy funkcji rekurencyjnych potrzebna jest, jak wiadomo, dodatkowo zasada indukcji zupełnej, która jest podstawą do definiowania funkcji za pomocą tzw. </w:t>
      </w:r>
      <w:r>
        <w:sym w:font="Symbol" w:char="F06D"/>
      </w:r>
      <w:r>
        <w:t>-rekursji. Ten rodzaj indukcji może mieć też empiryczną proweniencję. Jed</w:t>
      </w:r>
      <w:r>
        <w:t>nym ze szkolnych przykładów na indukcję zupełną jest przykład z kostkami domina. Sama indukcja zupełna jest również uogólnieniem umysłu. Zdaniem piszącego, z powyższych uwag wynika, że cała siła empirystycznej koncepcji pochodzenia pojęć opiera się na spos</w:t>
      </w:r>
      <w:r>
        <w:t>obie funkcjonowaniu umysłu.</w:t>
      </w:r>
      <w:r>
        <w:rPr>
          <w:rStyle w:val="Odwoanieprzypisudolnego"/>
        </w:rPr>
        <w:footnoteReference w:id="9"/>
      </w:r>
    </w:p>
    <w:p w:rsidR="00000000" w:rsidRDefault="00804BD2">
      <w:pPr>
        <w:ind w:firstLine="708"/>
        <w:jc w:val="both"/>
      </w:pPr>
      <w:r>
        <w:t>Drugim poglądem w rozważanej kwestii jest koncepcja platońska, reprezentowana na przykład przez G. Fregego.</w:t>
      </w:r>
      <w:r>
        <w:rPr>
          <w:rStyle w:val="Odwoanieprzypisudolnego"/>
        </w:rPr>
        <w:footnoteReference w:id="10"/>
      </w:r>
      <w:r>
        <w:t xml:space="preserve"> Frege był ostrym krytykiem Millowskiej koncepcji pochodzenia liczb, a niektóre z wypowiedzi Anglika na tematy związane</w:t>
      </w:r>
      <w:r>
        <w:t xml:space="preserve"> z logiką czy arytmetyką traktował z lekceważeniem. Argumenty krytyczne Fregego są następujące: argument z dużych liczb, że ich nie doświadczamy empirycznie</w:t>
      </w:r>
      <w:r>
        <w:rPr>
          <w:rStyle w:val="Odwoanieprzypisudolnego"/>
        </w:rPr>
        <w:footnoteReference w:id="11"/>
      </w:r>
      <w:r>
        <w:t>; argument z małych liczb, w którym chodzi o to, jakie fizyczne fakty ilustrują istnienie 0 i 1; ar</w:t>
      </w:r>
      <w:r>
        <w:t xml:space="preserve">gument z liczby obiektów niefizycznych, jak np. </w:t>
      </w:r>
      <w:r>
        <w:lastRenderedPageBreak/>
        <w:t xml:space="preserve">uderzenia zegara; i ostatni argument - </w:t>
      </w:r>
      <w:r>
        <w:rPr>
          <w:highlight w:val="yellow"/>
        </w:rPr>
        <w:t>wedle którego indukcja niezupełna zależy od prawdopodobieństwa, które z kolei zakłada arytmetykę</w:t>
      </w:r>
      <w:r>
        <w:t>,</w:t>
      </w:r>
      <w:r>
        <w:t xml:space="preserve"> a zatem mielibyśmy błędne koło w uzasadnianiu arytmetyki. Nie wchodząc </w:t>
      </w:r>
      <w:r>
        <w:t>w szczegóły teorii Fregego powiemy, że dla niego wypowiedź o liczbie jest wypowiedzią o pojęciu.</w:t>
      </w:r>
      <w:r>
        <w:rPr>
          <w:rStyle w:val="Odwoanieprzypisudolnego"/>
        </w:rPr>
        <w:footnoteReference w:id="12"/>
      </w:r>
      <w:r>
        <w:t xml:space="preserve"> Pojęcia istnieją i są dane pierwotnie jako byty platońskie. Same liczby naturalne dane indywidualnie definiuje Frege jako elementy pewnego ciągu, którego pier</w:t>
      </w:r>
      <w:r>
        <w:t>wszym elementem jest liczba 0, która należy do pojęcia „być nieidentycznym z samym sobą”. Liczba 1 jest z kolei liczbą, która należy do pojęcia „być identycznym z 0” itd. Frege był logicystą i uważał, że pojęcia arytmetyczne dadzą się sprowadzić do pojęć l</w:t>
      </w:r>
      <w:r>
        <w:t>ogicznych. Dotyczyło to zarówno liczb, jak i zasady indukcji zupełnej. Jeśli zatem posiadamy w naszych umysłach jakieś pojęcia arytmetyczne, to są one pochodną pojęć logicznych. W szczególności działania arytmetyczne dadzą się zdefiniować za pomocą metod l</w:t>
      </w:r>
      <w:r>
        <w:t xml:space="preserve">ogicznych. Czy należy zatem rozumieć, iż pojęcia arytmetyczne nie istnieją w świecie obiektów platońskich, lecz są jedynie naszą konstrukcją? Myślę, że trzeba uznać ich obiektywne istnienie jako bytów abstrakcyjnych, zgodnie z założeniem platońskim. Nasza </w:t>
      </w:r>
      <w:r>
        <w:t>intuicja, odnosząca się do liczb i funkcji, bo to właśnie za pomocą intuicji intelektualnej docieramy do bytów abstrakcyjnych, pozwala rozpoznać ich własności. Gödel mówił o tej intuicji, że jest podobna do postrzegania zmysłowego.</w:t>
      </w:r>
      <w:r>
        <w:rPr>
          <w:rStyle w:val="Odwoanieprzypisudolnego"/>
        </w:rPr>
        <w:footnoteReference w:id="13"/>
      </w:r>
      <w:r>
        <w:t xml:space="preserve"> Początkowo nie widzimy </w:t>
      </w:r>
      <w:r>
        <w:t>dokładnie, rzecz wydaje się być mętna i widzimy niewyraźnie, ale im dłużej się przyglądamy, to z czasem widzimy wyraźniej. Tak samo jest z intuicją obiektów platońskich. Im staranniejszy ogląd, tym lepsze rozumienie pojęcia. Temu oglądowi towarzyszy przeko</w:t>
      </w:r>
      <w:r>
        <w:t>nanie, że jesteśmy świadkami odkrywania czegoś istniejącego, a nie twórcami. Dobitnym przykładem jest powstanie arytmetyki liczb naturalnych. Własności liczb naturalnych odkrywane powoli doprowadziły do sformułowania ich własności w postaci sformalizowaneg</w:t>
      </w:r>
      <w:r>
        <w:t>o systemu arytmetyki Peano i są owocem współpracy wielu myślicieli na przestrzeni co najmniej kilkudziesięciu lat.</w:t>
      </w:r>
    </w:p>
    <w:p w:rsidR="00000000" w:rsidRDefault="00804BD2">
      <w:pPr>
        <w:jc w:val="both"/>
      </w:pPr>
    </w:p>
    <w:p w:rsidR="00000000" w:rsidRDefault="00804BD2">
      <w:pPr>
        <w:jc w:val="both"/>
      </w:pPr>
      <w:r>
        <w:t>3.</w:t>
      </w:r>
      <w:r>
        <w:tab/>
        <w:t>Powyższe rozważania mają wskazywać na dwie konkurencyjne teorie pochodzenia pojęcia liczby naturalnej, podstawowych własności tych liczb,</w:t>
      </w:r>
      <w:r>
        <w:t xml:space="preserve"> jak i pojęcia funkcji. Zwolennicy tych teorii są wzajemnie krytycznie nastawieni. Wydaje się jednak, że oba te podejścia generują dwa źródłowo niezależne zestawy pojęć. Jeden wywodzi się mechanicznego manipulowania znakami i syntaktycznych operacji na nic</w:t>
      </w:r>
      <w:r>
        <w:t>h (empiryzm). Drugi zaś wywodzi się z intuicyjnego obcowania z obiektami abstrakcyjnymi (platonizm). Wydaje się, że koncepcja obliczalności w postaci funkcji rekurencyjnych wywodzi się z empirycznego manipulowania znakami. Argument za tym jest taki, że ter</w:t>
      </w:r>
      <w:r>
        <w:t xml:space="preserve">min </w:t>
      </w:r>
      <w:r>
        <w:rPr>
          <w:i/>
          <w:iCs/>
        </w:rPr>
        <w:t>rekurencyjny</w:t>
      </w:r>
      <w:r>
        <w:t xml:space="preserve"> w swoim pierwotnym sensie odnosi się do wyrażeń zdefiniowanych syntaktycznie. I tak, na przykład, używając lambda-notacji Churcha, odnosi się do wyrażeń, które mogą się pojawić w nawiasie kwadratowym w wyrażeniu </w:t>
      </w:r>
      <w:r>
        <w:sym w:font="Symbol" w:char="F06C"/>
      </w:r>
      <w:r>
        <w:t>x[   ], a dopiero w sensie</w:t>
      </w:r>
      <w:r>
        <w:t xml:space="preserve"> wtórnym do funkcji jako nieskończonego zbioru par uporządkowanych. Chcąc wykazać, że jakaś funkcja jest rekurencyjna wykazujemy, że wyrażenie definiujące tę funkcję da się wyprowadzić z wyrażeń dla funkcji bazowych za pomocą schematów definicyjnych. Zaś w</w:t>
      </w:r>
      <w:r>
        <w:t xml:space="preserve"> sensie wtórnym funkcja  </w:t>
      </w:r>
      <w:r>
        <w:sym w:font="Symbol" w:char="F06C"/>
      </w:r>
      <w:r>
        <w:t xml:space="preserve">x[f(x)] nazywa się </w:t>
      </w:r>
      <w:r>
        <w:rPr>
          <w:i/>
          <w:iCs/>
        </w:rPr>
        <w:t>rekurencyjną</w:t>
      </w:r>
      <w:r>
        <w:t xml:space="preserve">, gdy istnieje takie wyrażenie rekurencyjne g(x), że </w:t>
      </w:r>
      <w:r>
        <w:sym w:font="Symbol" w:char="F06C"/>
      </w:r>
      <w:r>
        <w:t xml:space="preserve">x[f(x)] = </w:t>
      </w:r>
      <w:r>
        <w:sym w:font="Symbol" w:char="F06C"/>
      </w:r>
      <w:r>
        <w:t>x[g(x)].</w:t>
      </w:r>
      <w:r>
        <w:rPr>
          <w:rStyle w:val="Odwoanieprzypisudolnego"/>
        </w:rPr>
        <w:footnoteReference w:id="14"/>
      </w:r>
      <w:r>
        <w:t xml:space="preserve"> Z podejściem empirystycznym związane jest też podejście mechanistyczne do obliczalności. R. Gandy wykazał, że obliczalność p</w:t>
      </w:r>
      <w:r>
        <w:t xml:space="preserve">rzez fizyczną maszynę, spełniającą pewne wyjściowe założenia, jest równoważne obliczalności w sensie Turinga.  </w:t>
      </w:r>
    </w:p>
    <w:p w:rsidR="00000000" w:rsidRDefault="00804BD2">
      <w:pPr>
        <w:ind w:firstLine="708"/>
        <w:jc w:val="both"/>
      </w:pPr>
      <w:r>
        <w:lastRenderedPageBreak/>
        <w:t>Natomiast pogląd platoński odnośnie genezy „drugiego” pojęcia obliczalności wywodzi się z intuicyjnego wglądu w świat idei platońskich. Próbą de</w:t>
      </w:r>
      <w:r>
        <w:t xml:space="preserve">finicji wywodzącej się stąd jest, według mnie, definicja obliczalności w postaci funkcji lambda-obliczalnych. Church mówił w tym przypadku o formalizacji pojęcia funkcji </w:t>
      </w:r>
      <w:r>
        <w:rPr>
          <w:i/>
          <w:iCs/>
        </w:rPr>
        <w:t>in intension</w:t>
      </w:r>
      <w:r>
        <w:t>.</w:t>
      </w:r>
      <w:r>
        <w:rPr>
          <w:rStyle w:val="Odwoanieprzypisudolnego"/>
        </w:rPr>
        <w:footnoteReference w:id="15"/>
      </w:r>
      <w:r>
        <w:t xml:space="preserve"> Kiedy mówimy o intuicyjnym pojęciu funkcji efektywnie obliczalnej, to s</w:t>
      </w:r>
      <w:r>
        <w:t xml:space="preserve">łowo </w:t>
      </w:r>
      <w:r>
        <w:rPr>
          <w:i/>
          <w:iCs/>
        </w:rPr>
        <w:t>intuicyjny</w:t>
      </w:r>
      <w:r>
        <w:t xml:space="preserve"> odnosi się prawdopodobnie do intuicji intelektualnej, dzięki której poznajemy świat obiektów platońskich. </w:t>
      </w:r>
    </w:p>
    <w:p w:rsidR="00000000" w:rsidRDefault="00804BD2">
      <w:pPr>
        <w:ind w:firstLine="708"/>
        <w:jc w:val="both"/>
      </w:pPr>
      <w:r>
        <w:t>Trzecim źródłem odkrycia sensu obliczalności były badania przeprowadzone przez Alana Turinga. Zdawały one sprawę z rozważań nad umysł</w:t>
      </w:r>
      <w:r>
        <w:t>em i procedurami umysłowymi, które są dokonywane podczas obliczania. Maszyna Turinga może być bowiem traktowana jako rodzaj modelu umysłu, czy też sposobu jego funkcjonowania podczas obliczeń na liczbach. Zresztą w tytule pracy Turinga jest mowa o obliczan</w:t>
      </w:r>
      <w:r>
        <w:t>iu liczb. Można powiedzieć, nie odwołując się ani do obiektów platońskich, ani do empiryzmu, że to pojęcie obliczalności leży w nurcie konceptualistycznym (konstruktywistycznym) wywodzącym się od Brouwera.</w:t>
      </w:r>
      <w:r>
        <w:rPr>
          <w:rStyle w:val="Odwoanieprzypisudolnego"/>
        </w:rPr>
        <w:footnoteReference w:id="16"/>
      </w:r>
    </w:p>
    <w:p w:rsidR="00000000" w:rsidRDefault="00804BD2">
      <w:pPr>
        <w:jc w:val="both"/>
      </w:pPr>
      <w:r>
        <w:t>Dwa pierwsze sensy obliczalności funkcji określon</w:t>
      </w:r>
      <w:r>
        <w:t xml:space="preserve">ych w liczbach naturalnych spotykają się w turingowskim pojęciu obliczalności. </w:t>
      </w:r>
    </w:p>
    <w:p w:rsidR="00000000" w:rsidRDefault="00804BD2">
      <w:pPr>
        <w:jc w:val="both"/>
      </w:pPr>
    </w:p>
    <w:p w:rsidR="00804BD2" w:rsidRDefault="00804BD2">
      <w:pPr>
        <w:jc w:val="both"/>
      </w:pPr>
      <w:r>
        <w:t>4.</w:t>
      </w:r>
      <w:r>
        <w:tab/>
        <w:t>Na tle wypowiedzianych uwag spróbujmy rozważyć pewne zagadnienie. Załóżmy, po pierwsze, że umysł działa jak uniwersalna maszyna Turinga na symbolicznych (syntaktycznych) re</w:t>
      </w:r>
      <w:r>
        <w:t>prezentacjach stanów rzeczy</w:t>
      </w:r>
      <w:r>
        <w:rPr>
          <w:rStyle w:val="Odwoanieprzypisudolnego"/>
        </w:rPr>
        <w:footnoteReference w:id="17"/>
      </w:r>
      <w:r>
        <w:t>, czyli myślenie jest rodzajem „obliczania” na owych reprezentacjach. Takie założenie jest w istocie przyjęciem komputacyjnej teorii umysłu. Drugie założenie polega na przyjęciu wyników (pobieżnych) analiz z punktu drugiego i tr</w:t>
      </w:r>
      <w:r>
        <w:t>zeciego niniejszej pracy. Przy tych założeniach możliwy jest, jak się wydaje, mocny argument za prawdziwością CT. Na mocy powyższej argumentacji mielibyśmy to, że pojęcie funkcji rekurencyjnej ma empiryczny rodowód i jest równoważne pojęciu obliczalności z</w:t>
      </w:r>
      <w:r>
        <w:t xml:space="preserve">a pomocą maszyny Turinga. Równocześnie </w:t>
      </w:r>
      <w:r>
        <w:rPr>
          <w:highlight w:val="yellow"/>
        </w:rPr>
        <w:t>jeśli</w:t>
      </w:r>
      <w:r>
        <w:t xml:space="preserve"> myślenie o funkcjach jako regułach (</w:t>
      </w:r>
      <w:r>
        <w:rPr>
          <w:i/>
          <w:iCs/>
        </w:rPr>
        <w:t>in intension</w:t>
      </w:r>
      <w:r>
        <w:t>) i liczbach jako obiektach platońskich ograniczone jest przez proces myślenia, a zatem również przez maszynę Turinga (z komputacyjnej teorii umysłu), to oba te (r</w:t>
      </w:r>
      <w:r>
        <w:t xml:space="preserve">óżniące się co do genezy) pojęcia byłyby tym samym pojęciem. </w:t>
      </w:r>
    </w:p>
    <w:sectPr w:rsidR="00804BD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D2" w:rsidRDefault="00804BD2">
      <w:r>
        <w:separator/>
      </w:r>
    </w:p>
  </w:endnote>
  <w:endnote w:type="continuationSeparator" w:id="0">
    <w:p w:rsidR="00804BD2" w:rsidRDefault="0080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4B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804BD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4B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1C6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804BD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D2" w:rsidRDefault="00804BD2">
      <w:r>
        <w:separator/>
      </w:r>
    </w:p>
  </w:footnote>
  <w:footnote w:type="continuationSeparator" w:id="0">
    <w:p w:rsidR="00804BD2" w:rsidRDefault="00804BD2">
      <w:r>
        <w:continuationSeparator/>
      </w:r>
    </w:p>
  </w:footnote>
  <w:footnote w:id="1">
    <w:p w:rsidR="00000000" w:rsidRDefault="00804B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Zdanie A jest </w:t>
      </w:r>
      <w:r>
        <w:rPr>
          <w:i/>
          <w:iCs/>
        </w:rPr>
        <w:t xml:space="preserve">presupozycją </w:t>
      </w:r>
      <w:r>
        <w:t xml:space="preserve">zdania B, gdy prawdziwość zdania A jest warunkiem koniecznym </w:t>
      </w:r>
      <w:r>
        <w:rPr>
          <w:i/>
          <w:iCs/>
        </w:rPr>
        <w:t>sensowności</w:t>
      </w:r>
      <w:r>
        <w:t xml:space="preserve"> zdania B.</w:t>
      </w:r>
    </w:p>
  </w:footnote>
  <w:footnote w:id="2">
    <w:p w:rsidR="00000000" w:rsidRDefault="00804B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Stosuję tutaj własną symbolikę na operator presuponowania.</w:t>
      </w:r>
    </w:p>
  </w:footnote>
  <w:footnote w:id="3">
    <w:p w:rsidR="00000000" w:rsidRDefault="00804BD2">
      <w:pPr>
        <w:pStyle w:val="Tekstprzypisudolnego"/>
      </w:pPr>
      <w:r>
        <w:rPr>
          <w:rStyle w:val="Odwoanieprzypisudolnego"/>
        </w:rPr>
        <w:footnoteRef/>
      </w:r>
      <w:r>
        <w:t xml:space="preserve"> Takie stanowisko zw</w:t>
      </w:r>
      <w:r>
        <w:t>ane jest czasem redukcjonizmem w omawianej kwestii.</w:t>
      </w:r>
    </w:p>
  </w:footnote>
  <w:footnote w:id="4">
    <w:p w:rsidR="00000000" w:rsidRDefault="00804BD2">
      <w:pPr>
        <w:pStyle w:val="Tekstprzypisudolnego"/>
      </w:pPr>
      <w:r>
        <w:rPr>
          <w:rStyle w:val="Odwoanieprzypisudolnego"/>
        </w:rPr>
        <w:footnoteRef/>
      </w:r>
      <w:r>
        <w:t xml:space="preserve"> Przez funkcję będziemy w niniejszej pracy rozumieć konsekwentnie funkcję określoną w liczbach naturalnych.</w:t>
      </w:r>
    </w:p>
  </w:footnote>
  <w:footnote w:id="5">
    <w:p w:rsidR="00000000" w:rsidRDefault="00804B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Teza o matematyczności przyrody jest od dawna głoszona przez ks. Profesora Michała Hellera. W</w:t>
      </w:r>
      <w:r>
        <w:t>prawdzie nie ma ona precyzyjnego sformułowania, ale wskazuje na pewną cechę (własność) przyrody, która sprawia, że przyroda poddaje się opisowi matematycznemu.</w:t>
      </w:r>
    </w:p>
  </w:footnote>
  <w:footnote w:id="6">
    <w:p w:rsidR="00000000" w:rsidRDefault="00804BD2">
      <w:pPr>
        <w:pStyle w:val="Tekstprzypisudolnego"/>
      </w:pPr>
      <w:r>
        <w:rPr>
          <w:rStyle w:val="Odwoanieprzypisudolnego"/>
        </w:rPr>
        <w:footnoteRef/>
      </w:r>
      <w:r>
        <w:t xml:space="preserve"> To założenie jest niezgodne z poglądem konstruktywistycznym.</w:t>
      </w:r>
    </w:p>
  </w:footnote>
  <w:footnote w:id="7">
    <w:p w:rsidR="00000000" w:rsidRDefault="00804BD2">
      <w:pPr>
        <w:pStyle w:val="Tekstprzypisudolnego"/>
      </w:pPr>
      <w:r>
        <w:rPr>
          <w:rStyle w:val="Odwoanieprzypisudolnego"/>
        </w:rPr>
        <w:footnoteRef/>
      </w:r>
      <w:r>
        <w:t xml:space="preserve"> Zobacz wyżej uwagi o presupozyc</w:t>
      </w:r>
      <w:r>
        <w:t>ji dla CT.</w:t>
      </w:r>
    </w:p>
  </w:footnote>
  <w:footnote w:id="8">
    <w:p w:rsidR="00000000" w:rsidRDefault="00804BD2">
      <w:pPr>
        <w:pStyle w:val="Tekstprzypisudolnego"/>
      </w:pPr>
      <w:r>
        <w:rPr>
          <w:rStyle w:val="Odwoanieprzypisudolnego"/>
        </w:rPr>
        <w:footnoteRef/>
      </w:r>
      <w:r>
        <w:t xml:space="preserve"> Tutaj znowu pojawia się związek z konstruktywizmem.</w:t>
      </w:r>
    </w:p>
  </w:footnote>
  <w:footnote w:id="9">
    <w:p w:rsidR="00000000" w:rsidRDefault="00804B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Kantowska intuicja zawierająca formy czasu i przestrzeni była swoistym rozwiązaniem problemu matematyczności przyrody. Mianowicie, to nie przyroda jest matematyczna, ale jej obraz w formach</w:t>
      </w:r>
      <w:r>
        <w:t xml:space="preserve"> czasoprzestrzennych.  </w:t>
      </w:r>
    </w:p>
  </w:footnote>
  <w:footnote w:id="10">
    <w:p w:rsidR="00000000" w:rsidRDefault="00804B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Argument niededukcyjny ex auctoritate: Church, Frege, Gödel i inni najwybitniejsi logicy uznawali istnienie bytów platońskich, zatem istnieją byty platońskie; wydaje mi się być dość mocny.</w:t>
      </w:r>
    </w:p>
  </w:footnote>
  <w:footnote w:id="11">
    <w:p w:rsidR="00000000" w:rsidRDefault="00804BD2">
      <w:pPr>
        <w:pStyle w:val="Tekstprzypisudolnego"/>
      </w:pPr>
      <w:r>
        <w:rPr>
          <w:rStyle w:val="Odwoanieprzypisudolnego"/>
        </w:rPr>
        <w:footnoteRef/>
      </w:r>
      <w:r>
        <w:t xml:space="preserve"> Podobny argument skierował przeciwko Ka</w:t>
      </w:r>
      <w:r>
        <w:t>ntowi.</w:t>
      </w:r>
    </w:p>
  </w:footnote>
  <w:footnote w:id="12">
    <w:p w:rsidR="00000000" w:rsidRDefault="00804BD2">
      <w:pPr>
        <w:pStyle w:val="Tekstprzypisudolnego"/>
      </w:pPr>
      <w:r>
        <w:rPr>
          <w:rStyle w:val="Odwoanieprzypisudolnego"/>
        </w:rPr>
        <w:footnoteRef/>
      </w:r>
      <w:r>
        <w:t xml:space="preserve"> Tak samo jak na przykład istnienie jest wypowiedzią o pojęciu – własnością pojęcia.</w:t>
      </w:r>
    </w:p>
  </w:footnote>
  <w:footnote w:id="13">
    <w:p w:rsidR="00000000" w:rsidRDefault="00804BD2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Por. C. Parsons, ‘Platonism and mathematical intuition in Kurt Gödel’s thought’, </w:t>
      </w:r>
      <w:r>
        <w:rPr>
          <w:i/>
          <w:iCs/>
          <w:lang w:val="en-US"/>
        </w:rPr>
        <w:t>Bulletin of Symbolic Logic</w:t>
      </w:r>
      <w:r>
        <w:rPr>
          <w:lang w:val="en-US"/>
        </w:rPr>
        <w:t>, 1(1995), ss. 44-74, szczególnie ss. 52-54.</w:t>
      </w:r>
    </w:p>
  </w:footnote>
  <w:footnote w:id="14">
    <w:p w:rsidR="00000000" w:rsidRDefault="00804BD2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Por. C.</w:t>
      </w:r>
      <w:r>
        <w:rPr>
          <w:lang w:val="en-US"/>
        </w:rPr>
        <w:t xml:space="preserve"> F. Kielkopf, ‘The intensionality of the predicate ‘___is recursive’’, </w:t>
      </w:r>
      <w:r>
        <w:rPr>
          <w:i/>
          <w:iCs/>
          <w:lang w:val="en-US"/>
        </w:rPr>
        <w:t>Notre Dame Journal of Formal Logic</w:t>
      </w:r>
      <w:r>
        <w:rPr>
          <w:lang w:val="en-US"/>
        </w:rPr>
        <w:t>, 19(1978), ss. 165-173.</w:t>
      </w:r>
    </w:p>
  </w:footnote>
  <w:footnote w:id="15">
    <w:p w:rsidR="00000000" w:rsidRDefault="00804BD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Por. A. Church, ‘The calculi of lambda-conversion’, Princeton 1941, ss. 2-3. </w:t>
      </w:r>
    </w:p>
  </w:footnote>
  <w:footnote w:id="16">
    <w:p w:rsidR="00000000" w:rsidRDefault="00804BD2">
      <w:pPr>
        <w:pStyle w:val="Tekstprzypisudolnego"/>
      </w:pPr>
      <w:r>
        <w:rPr>
          <w:rStyle w:val="Odwoanieprzypisudolnego"/>
        </w:rPr>
        <w:footnoteRef/>
      </w:r>
      <w:r>
        <w:t xml:space="preserve"> Dla Brouwera liczby i funkcje były subiektyw</w:t>
      </w:r>
      <w:r>
        <w:t>nym konstrukcjami umysłu.</w:t>
      </w:r>
    </w:p>
  </w:footnote>
  <w:footnote w:id="17">
    <w:p w:rsidR="00000000" w:rsidRDefault="00804BD2">
      <w:pPr>
        <w:pStyle w:val="Tekstprzypisudolnego"/>
      </w:pPr>
      <w:r>
        <w:rPr>
          <w:rStyle w:val="Odwoanieprzypisudolnego"/>
        </w:rPr>
        <w:footnoteRef/>
      </w:r>
      <w:r>
        <w:t xml:space="preserve"> Stany umysłu są rodzajem relacji pomiędzy podmiotem myślenia, a odpowiednimi obiektami syntaktycznymi.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7A01"/>
    <w:multiLevelType w:val="hybridMultilevel"/>
    <w:tmpl w:val="C846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C61"/>
    <w:rsid w:val="00804BD2"/>
    <w:rsid w:val="00E7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1956</Words>
  <Characters>12954</Characters>
  <Application>Microsoft Office Word</Application>
  <DocSecurity>0</DocSecurity>
  <Lines>199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TEZA CHURCHA A GENEZA POJĘĆ</vt:lpstr>
    </vt:vector>
  </TitlesOfParts>
  <Company/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TEZA CHURCHA A GENEZA POJĘĆ</dc:title>
  <dc:creator>Adam</dc:creator>
  <cp:lastModifiedBy>User</cp:lastModifiedBy>
  <cp:revision>2</cp:revision>
  <dcterms:created xsi:type="dcterms:W3CDTF">2015-03-14T08:48:00Z</dcterms:created>
  <dcterms:modified xsi:type="dcterms:W3CDTF">2015-03-14T08:48:00Z</dcterms:modified>
</cp:coreProperties>
</file>